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7A57A9" w14:textId="2F225C75" w:rsidR="00B23B03" w:rsidRDefault="00F0037C">
      <w:pPr>
        <w:rPr>
          <w:rFonts w:ascii="Times New Roman" w:hAnsi="Times New Roman" w:cs="Times New Roman"/>
          <w:b/>
          <w:bCs/>
          <w:sz w:val="28"/>
          <w:szCs w:val="28"/>
          <w:lang w:val="ru-RU"/>
        </w:rPr>
      </w:pPr>
      <w:r w:rsidRPr="00F0037C">
        <w:rPr>
          <w:rFonts w:ascii="Times New Roman" w:hAnsi="Times New Roman" w:cs="Times New Roman"/>
          <w:b/>
          <w:bCs/>
          <w:sz w:val="28"/>
          <w:szCs w:val="28"/>
          <w:lang w:val="ru-RU"/>
        </w:rPr>
        <w:t>Лекция 13.</w:t>
      </w:r>
    </w:p>
    <w:p w14:paraId="640B7B06" w14:textId="479417DE" w:rsidR="005471CA" w:rsidRPr="005471CA" w:rsidRDefault="005471CA" w:rsidP="005471CA">
      <w:pPr>
        <w:keepNext/>
        <w:spacing w:after="0" w:line="240" w:lineRule="auto"/>
        <w:jc w:val="center"/>
        <w:outlineLvl w:val="0"/>
        <w:rPr>
          <w:rFonts w:ascii="Times New Roman" w:eastAsia="Times New Roman" w:hAnsi="Times New Roman" w:cs="Times New Roman"/>
          <w:sz w:val="28"/>
          <w:szCs w:val="28"/>
          <w:lang w:val="kk-KZ" w:eastAsia="ru-RU"/>
        </w:rPr>
      </w:pPr>
      <w:bookmarkStart w:id="0" w:name="_Toc276932474"/>
      <w:bookmarkStart w:id="1" w:name="_Hlk62500230"/>
      <w:r w:rsidRPr="005471CA">
        <w:rPr>
          <w:rFonts w:ascii="Times New Roman" w:eastAsia="Times New Roman" w:hAnsi="Times New Roman" w:cs="Times New Roman"/>
          <w:sz w:val="28"/>
          <w:szCs w:val="28"/>
          <w:lang w:val="kk-KZ" w:eastAsia="ru-RU"/>
        </w:rPr>
        <w:t xml:space="preserve"> ОСНОВНЫЕ ПОНЯТИЯ О «KNOW HOW» (НОУ-ХАУ)</w:t>
      </w:r>
      <w:bookmarkEnd w:id="0"/>
    </w:p>
    <w:bookmarkEnd w:id="1"/>
    <w:p w14:paraId="277B7264"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p>
    <w:p w14:paraId="45E03EAB"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В условиях рыночной экономики обмен научно-техническими достижениями должен осуществляться на коммерческой основе. Между тем на практике возникает немало проблем. В том числе многие из них возникают от неумения выявлять «</w:t>
      </w:r>
      <w:r w:rsidRPr="005471CA">
        <w:rPr>
          <w:rFonts w:ascii="Times New Roman" w:eastAsia="Times New Roman" w:hAnsi="Times New Roman" w:cs="Times New Roman"/>
          <w:color w:val="000000"/>
          <w:sz w:val="28"/>
          <w:szCs w:val="28"/>
          <w:lang w:val="en-US" w:eastAsia="ru-RU"/>
        </w:rPr>
        <w:t>know</w:t>
      </w:r>
      <w:r w:rsidRPr="005471CA">
        <w:rPr>
          <w:rFonts w:ascii="Times New Roman" w:eastAsia="Times New Roman" w:hAnsi="Times New Roman" w:cs="Times New Roman"/>
          <w:color w:val="000000"/>
          <w:sz w:val="28"/>
          <w:szCs w:val="28"/>
          <w:lang w:val="ru-RU" w:eastAsia="ru-RU"/>
        </w:rPr>
        <w:t xml:space="preserve"> </w:t>
      </w:r>
      <w:r w:rsidRPr="005471CA">
        <w:rPr>
          <w:rFonts w:ascii="Times New Roman" w:eastAsia="Times New Roman" w:hAnsi="Times New Roman" w:cs="Times New Roman"/>
          <w:color w:val="000000"/>
          <w:sz w:val="28"/>
          <w:szCs w:val="28"/>
          <w:lang w:val="en-US" w:eastAsia="ru-RU"/>
        </w:rPr>
        <w:t>how</w:t>
      </w:r>
      <w:r w:rsidRPr="005471CA">
        <w:rPr>
          <w:rFonts w:ascii="Times New Roman" w:eastAsia="Times New Roman" w:hAnsi="Times New Roman" w:cs="Times New Roman"/>
          <w:color w:val="000000"/>
          <w:sz w:val="28"/>
          <w:szCs w:val="28"/>
          <w:lang w:val="ru-RU" w:eastAsia="ru-RU"/>
        </w:rPr>
        <w:t>» (ноу-хау), определять их технико-экономическую и коммерческую значимость, сохранять в тайне. Умело выявить ноу-хау - значит повысить экономичность, получить дополнительную прибыль при коммерческой реализации.</w:t>
      </w:r>
    </w:p>
    <w:p w14:paraId="46D105E1"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Термин «ноу-хау» был впервые введен еще в 1916 году на одном из судебных процессов в США.</w:t>
      </w:r>
    </w:p>
    <w:p w14:paraId="5BDB67D2"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В качестве разновидностей «</w:t>
      </w:r>
      <w:r w:rsidRPr="005471CA">
        <w:rPr>
          <w:rFonts w:ascii="Times New Roman" w:eastAsia="Times New Roman" w:hAnsi="Times New Roman" w:cs="Times New Roman"/>
          <w:color w:val="000000"/>
          <w:sz w:val="28"/>
          <w:szCs w:val="28"/>
          <w:lang w:val="en-US" w:eastAsia="ru-RU"/>
        </w:rPr>
        <w:t>know</w:t>
      </w:r>
      <w:r w:rsidRPr="005471CA">
        <w:rPr>
          <w:rFonts w:ascii="Times New Roman" w:eastAsia="Times New Roman" w:hAnsi="Times New Roman" w:cs="Times New Roman"/>
          <w:color w:val="000000"/>
          <w:sz w:val="28"/>
          <w:szCs w:val="28"/>
          <w:lang w:val="ru-RU" w:eastAsia="ru-RU"/>
        </w:rPr>
        <w:t xml:space="preserve"> </w:t>
      </w:r>
      <w:r w:rsidRPr="005471CA">
        <w:rPr>
          <w:rFonts w:ascii="Times New Roman" w:eastAsia="Times New Roman" w:hAnsi="Times New Roman" w:cs="Times New Roman"/>
          <w:color w:val="000000"/>
          <w:sz w:val="28"/>
          <w:szCs w:val="28"/>
          <w:lang w:val="en-US" w:eastAsia="ru-RU"/>
        </w:rPr>
        <w:t>how</w:t>
      </w:r>
      <w:r w:rsidRPr="005471CA">
        <w:rPr>
          <w:rFonts w:ascii="Times New Roman" w:eastAsia="Times New Roman" w:hAnsi="Times New Roman" w:cs="Times New Roman"/>
          <w:color w:val="000000"/>
          <w:sz w:val="28"/>
          <w:szCs w:val="28"/>
          <w:lang w:val="ru-RU" w:eastAsia="ru-RU"/>
        </w:rPr>
        <w:t>» («знаю как») выступают «</w:t>
      </w:r>
      <w:r w:rsidRPr="005471CA">
        <w:rPr>
          <w:rFonts w:ascii="Times New Roman" w:eastAsia="Times New Roman" w:hAnsi="Times New Roman" w:cs="Times New Roman"/>
          <w:color w:val="000000"/>
          <w:sz w:val="28"/>
          <w:szCs w:val="28"/>
          <w:lang w:val="en-US" w:eastAsia="ru-RU"/>
        </w:rPr>
        <w:t>show</w:t>
      </w:r>
      <w:r w:rsidRPr="005471CA">
        <w:rPr>
          <w:rFonts w:ascii="Times New Roman" w:eastAsia="Times New Roman" w:hAnsi="Times New Roman" w:cs="Times New Roman"/>
          <w:color w:val="000000"/>
          <w:sz w:val="28"/>
          <w:szCs w:val="28"/>
          <w:lang w:val="ru-RU" w:eastAsia="ru-RU"/>
        </w:rPr>
        <w:t xml:space="preserve"> </w:t>
      </w:r>
      <w:r w:rsidRPr="005471CA">
        <w:rPr>
          <w:rFonts w:ascii="Times New Roman" w:eastAsia="Times New Roman" w:hAnsi="Times New Roman" w:cs="Times New Roman"/>
          <w:color w:val="000000"/>
          <w:sz w:val="28"/>
          <w:szCs w:val="28"/>
          <w:lang w:val="en-US" w:eastAsia="ru-RU"/>
        </w:rPr>
        <w:t>how</w:t>
      </w:r>
      <w:r w:rsidRPr="005471CA">
        <w:rPr>
          <w:rFonts w:ascii="Times New Roman" w:eastAsia="Times New Roman" w:hAnsi="Times New Roman" w:cs="Times New Roman"/>
          <w:color w:val="000000"/>
          <w:sz w:val="28"/>
          <w:szCs w:val="28"/>
          <w:lang w:val="ru-RU" w:eastAsia="ru-RU"/>
        </w:rPr>
        <w:t>» («покажу как»), «</w:t>
      </w:r>
      <w:r w:rsidRPr="005471CA">
        <w:rPr>
          <w:rFonts w:ascii="Times New Roman" w:eastAsia="Times New Roman" w:hAnsi="Times New Roman" w:cs="Times New Roman"/>
          <w:color w:val="000000"/>
          <w:sz w:val="28"/>
          <w:szCs w:val="28"/>
          <w:lang w:val="en-US" w:eastAsia="ru-RU"/>
        </w:rPr>
        <w:t>know</w:t>
      </w:r>
      <w:r w:rsidRPr="005471CA">
        <w:rPr>
          <w:rFonts w:ascii="Times New Roman" w:eastAsia="Times New Roman" w:hAnsi="Times New Roman" w:cs="Times New Roman"/>
          <w:color w:val="000000"/>
          <w:sz w:val="28"/>
          <w:szCs w:val="28"/>
          <w:lang w:val="ru-RU" w:eastAsia="ru-RU"/>
        </w:rPr>
        <w:t xml:space="preserve"> </w:t>
      </w:r>
      <w:r w:rsidRPr="005471CA">
        <w:rPr>
          <w:rFonts w:ascii="Times New Roman" w:eastAsia="Times New Roman" w:hAnsi="Times New Roman" w:cs="Times New Roman"/>
          <w:color w:val="000000"/>
          <w:sz w:val="28"/>
          <w:szCs w:val="28"/>
          <w:lang w:val="en-US" w:eastAsia="ru-RU"/>
        </w:rPr>
        <w:t>why</w:t>
      </w:r>
      <w:r w:rsidRPr="005471CA">
        <w:rPr>
          <w:rFonts w:ascii="Times New Roman" w:eastAsia="Times New Roman" w:hAnsi="Times New Roman" w:cs="Times New Roman"/>
          <w:color w:val="000000"/>
          <w:sz w:val="28"/>
          <w:szCs w:val="28"/>
          <w:lang w:val="ru-RU" w:eastAsia="ru-RU"/>
        </w:rPr>
        <w:t>» («знаю почему») и «</w:t>
      </w:r>
      <w:r w:rsidRPr="005471CA">
        <w:rPr>
          <w:rFonts w:ascii="Times New Roman" w:eastAsia="Times New Roman" w:hAnsi="Times New Roman" w:cs="Times New Roman"/>
          <w:color w:val="000000"/>
          <w:sz w:val="28"/>
          <w:szCs w:val="28"/>
          <w:lang w:val="en-US" w:eastAsia="ru-RU"/>
        </w:rPr>
        <w:t>trade</w:t>
      </w:r>
      <w:r w:rsidRPr="005471CA">
        <w:rPr>
          <w:rFonts w:ascii="Times New Roman" w:eastAsia="Times New Roman" w:hAnsi="Times New Roman" w:cs="Times New Roman"/>
          <w:color w:val="000000"/>
          <w:sz w:val="28"/>
          <w:szCs w:val="28"/>
          <w:lang w:val="ru-RU" w:eastAsia="ru-RU"/>
        </w:rPr>
        <w:t>-</w:t>
      </w:r>
      <w:r w:rsidRPr="005471CA">
        <w:rPr>
          <w:rFonts w:ascii="Times New Roman" w:eastAsia="Times New Roman" w:hAnsi="Times New Roman" w:cs="Times New Roman"/>
          <w:color w:val="000000"/>
          <w:sz w:val="28"/>
          <w:szCs w:val="28"/>
          <w:lang w:val="en-US" w:eastAsia="ru-RU"/>
        </w:rPr>
        <w:t>secret</w:t>
      </w:r>
      <w:r w:rsidRPr="005471CA">
        <w:rPr>
          <w:rFonts w:ascii="Times New Roman" w:eastAsia="Times New Roman" w:hAnsi="Times New Roman" w:cs="Times New Roman"/>
          <w:color w:val="000000"/>
          <w:sz w:val="28"/>
          <w:szCs w:val="28"/>
          <w:lang w:val="ru-RU" w:eastAsia="ru-RU"/>
        </w:rPr>
        <w:t>» («деловой секрет»). Воспринимаемые в качестве синонимов понятия «деловой секрет» и «ноу-хау» отличаются тем, что термин «деловой секрет» используется применительно к конфиденциальной информации, находящейся в распоряжении ее владельца. В случае передачи таких знаний на договорной основе они приобретают статус «ноу-хау», то есть если для делового секрета характерна статичность, то ноу-хау можно рассматривать как деловой секрет в динамике. Специальные нормы, регулирующие передачу ноу-хау, содержатся в законодательстве Англии, Аргентины, Венгрии, Канады, США. Такие объекты, защищаемые гражданским законодательством СССР и РФ, упоминаются во многих нормативных актах с употреблением различных названий этих объектов.</w:t>
      </w:r>
    </w:p>
    <w:p w14:paraId="0B2AD063"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 xml:space="preserve">В ст. 151 Основ гражданского законодательства Союза ССР и союзных республик от 31 мая </w:t>
      </w:r>
      <w:smartTag w:uri="urn:schemas-microsoft-com:office:smarttags" w:element="metricconverter">
        <w:smartTagPr>
          <w:attr w:name="ProductID" w:val="1991 г"/>
        </w:smartTagPr>
        <w:r w:rsidRPr="005471CA">
          <w:rPr>
            <w:rFonts w:ascii="Times New Roman" w:eastAsia="Times New Roman" w:hAnsi="Times New Roman" w:cs="Times New Roman"/>
            <w:color w:val="000000"/>
            <w:sz w:val="28"/>
            <w:szCs w:val="28"/>
            <w:lang w:val="ru-RU" w:eastAsia="ru-RU"/>
          </w:rPr>
          <w:t>1991 г</w:t>
        </w:r>
      </w:smartTag>
      <w:r w:rsidRPr="005471CA">
        <w:rPr>
          <w:rFonts w:ascii="Times New Roman" w:eastAsia="Times New Roman" w:hAnsi="Times New Roman" w:cs="Times New Roman"/>
          <w:color w:val="000000"/>
          <w:sz w:val="28"/>
          <w:szCs w:val="28"/>
          <w:lang w:val="ru-RU" w:eastAsia="ru-RU"/>
        </w:rPr>
        <w:t>. такие объекты именуются «секретами производства». В ст. 139 Гражданского кодекса РФ они называются «служебная и коммерческая тайна», а в ст. 1027 - «охраняемая коммерческая информация». В последнем из опубликованных проектов раздела ГК РФ этот объект именуется «профессиональные секреты (ноу-хау)* Существует несколько определений этого понятия. Есть определения, которые даны ООН, Европейским экономическим союзом, Ассоциацией промышленников США. Все они незначительно отличаются друг от друга, как правило, сложны, порой громоздки. Проанализировав известные определения ноу-хау, удалось выявить основные критерии этого понятия.</w:t>
      </w:r>
    </w:p>
    <w:p w14:paraId="04892B6D" w14:textId="77777777" w:rsidR="005471CA" w:rsidRPr="005471CA" w:rsidRDefault="005471CA" w:rsidP="005471CA">
      <w:pPr>
        <w:shd w:val="clear" w:color="auto" w:fill="FFFFFF"/>
        <w:tabs>
          <w:tab w:val="left" w:pos="523"/>
        </w:tabs>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1</w:t>
      </w:r>
      <w:r w:rsidRPr="005471CA">
        <w:rPr>
          <w:rFonts w:ascii="Times New Roman" w:eastAsia="Times New Roman" w:hAnsi="Times New Roman" w:cs="Times New Roman"/>
          <w:color w:val="000000"/>
          <w:sz w:val="28"/>
          <w:szCs w:val="28"/>
          <w:lang w:val="ru-RU" w:eastAsia="ru-RU"/>
        </w:rPr>
        <w:tab/>
        <w:t>К ноу-хау относят знания и навыки, связанные с разработкой, освоением, производством, реализацией, эксплуатацией, обслуживанием, ремонтом, совершенствованием техники, технологии материалов, и разделяют на:</w:t>
      </w:r>
    </w:p>
    <w:p w14:paraId="1D53B6B0" w14:textId="77777777" w:rsidR="005471CA" w:rsidRPr="005471CA" w:rsidRDefault="005471CA" w:rsidP="005471CA">
      <w:pPr>
        <w:widowControl w:val="0"/>
        <w:numPr>
          <w:ilvl w:val="0"/>
          <w:numId w:val="2"/>
        </w:numPr>
        <w:shd w:val="clear" w:color="auto" w:fill="FFFFFF"/>
        <w:tabs>
          <w:tab w:val="left" w:pos="-1276"/>
        </w:tabs>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техническое ноу-хау, в том числе научно-исследовательское, технологическое и производственное (секреты производства), расчетное (в области инженерных расчетов), проектное (в области проектирования промышленных и гражданских объектов);</w:t>
      </w:r>
    </w:p>
    <w:p w14:paraId="2F94395B" w14:textId="77777777" w:rsidR="005471CA" w:rsidRPr="005471CA" w:rsidRDefault="005471CA" w:rsidP="005471CA">
      <w:pPr>
        <w:widowControl w:val="0"/>
        <w:numPr>
          <w:ilvl w:val="0"/>
          <w:numId w:val="2"/>
        </w:numPr>
        <w:shd w:val="clear" w:color="auto" w:fill="FFFFFF"/>
        <w:tabs>
          <w:tab w:val="left" w:pos="-1276"/>
        </w:tabs>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lastRenderedPageBreak/>
        <w:t>управленческое ноу-хау, в том числе наиболее эффективные структуры, методы управления, наиболее простые и надежные связи как по вертикали, так и по горизонтали, четкое распределение обязанностей и их содержание, функциональное взаимодействие структурных подразделений, методы взаимодействия кооперирующихся фирм;</w:t>
      </w:r>
    </w:p>
    <w:p w14:paraId="64693378" w14:textId="77777777" w:rsidR="005471CA" w:rsidRPr="005471CA" w:rsidRDefault="005471CA" w:rsidP="005471CA">
      <w:pPr>
        <w:widowControl w:val="0"/>
        <w:numPr>
          <w:ilvl w:val="0"/>
          <w:numId w:val="2"/>
        </w:numPr>
        <w:shd w:val="clear" w:color="auto" w:fill="FFFFFF"/>
        <w:tabs>
          <w:tab w:val="left" w:pos="-1276"/>
        </w:tabs>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коммерческое ноу-хау, в том числе знания и опыт в реализации продукции, сведения о конъюнктуре рынка, фирмах-посредниках, сбытовых фирмах, наиболее целесообразных формах реализации, рекламе продукции;</w:t>
      </w:r>
    </w:p>
    <w:p w14:paraId="32E87383" w14:textId="77777777" w:rsidR="005471CA" w:rsidRPr="005471CA" w:rsidRDefault="005471CA" w:rsidP="005471CA">
      <w:pPr>
        <w:widowControl w:val="0"/>
        <w:numPr>
          <w:ilvl w:val="0"/>
          <w:numId w:val="2"/>
        </w:numPr>
        <w:shd w:val="clear" w:color="auto" w:fill="FFFFFF"/>
        <w:tabs>
          <w:tab w:val="left" w:pos="-1276"/>
        </w:tabs>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финансовое ноу-хау, в том числе сведения о наиболее выгодных формах использования денежных средств, ценных бумаг, акций, капиталовложений с учетом изменения курса валют, особенностей национальных налоговых систем, таможенных ограничений, сведения о банковских объединениях, формах кредитования.</w:t>
      </w:r>
    </w:p>
    <w:p w14:paraId="1AA4382B" w14:textId="77777777" w:rsidR="005471CA" w:rsidRPr="005471CA" w:rsidRDefault="005471CA" w:rsidP="005471CA">
      <w:pPr>
        <w:shd w:val="clear" w:color="auto" w:fill="FFFFFF"/>
        <w:tabs>
          <w:tab w:val="left" w:pos="590"/>
        </w:tabs>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2</w:t>
      </w:r>
      <w:r w:rsidRPr="005471CA">
        <w:rPr>
          <w:rFonts w:ascii="Times New Roman" w:eastAsia="Times New Roman" w:hAnsi="Times New Roman" w:cs="Times New Roman"/>
          <w:color w:val="000000"/>
          <w:sz w:val="28"/>
          <w:szCs w:val="28"/>
          <w:lang w:val="ru-RU" w:eastAsia="ru-RU"/>
        </w:rPr>
        <w:tab/>
        <w:t>Ноу-хау имеют значительную ценность и носят практический характер, это не теоретические предпосылки, не гипотезы.</w:t>
      </w:r>
    </w:p>
    <w:p w14:paraId="290B795A" w14:textId="77777777" w:rsidR="005471CA" w:rsidRPr="005471CA" w:rsidRDefault="005471CA" w:rsidP="005471CA">
      <w:pPr>
        <w:shd w:val="clear" w:color="auto" w:fill="FFFFFF"/>
        <w:tabs>
          <w:tab w:val="left" w:pos="590"/>
        </w:tabs>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3</w:t>
      </w:r>
      <w:r w:rsidRPr="005471CA">
        <w:rPr>
          <w:rFonts w:ascii="Times New Roman" w:eastAsia="Times New Roman" w:hAnsi="Times New Roman" w:cs="Times New Roman"/>
          <w:color w:val="000000"/>
          <w:sz w:val="28"/>
          <w:szCs w:val="28"/>
          <w:lang w:val="ru-RU" w:eastAsia="ru-RU"/>
        </w:rPr>
        <w:tab/>
        <w:t>Ноу-хау всегда конфиденциальны, известны ограниченному кругу лиц (только тем лицам, которым они необходимы для производственной деятельности и только в требуемом объеме, в целом ноу-хау Должен знать один, максимум два человека-специалиста).</w:t>
      </w:r>
    </w:p>
    <w:p w14:paraId="383B4039" w14:textId="77777777" w:rsidR="005471CA" w:rsidRPr="005471CA" w:rsidRDefault="005471CA" w:rsidP="005471CA">
      <w:pPr>
        <w:shd w:val="clear" w:color="auto" w:fill="FFFFFF"/>
        <w:tabs>
          <w:tab w:val="left" w:pos="590"/>
        </w:tabs>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4</w:t>
      </w:r>
      <w:r w:rsidRPr="005471CA">
        <w:rPr>
          <w:rFonts w:ascii="Times New Roman" w:eastAsia="Times New Roman" w:hAnsi="Times New Roman" w:cs="Times New Roman"/>
          <w:color w:val="000000"/>
          <w:sz w:val="28"/>
          <w:szCs w:val="28"/>
          <w:lang w:val="ru-RU" w:eastAsia="ru-RU"/>
        </w:rPr>
        <w:tab/>
        <w:t>Ноу-хау не имеют правовой защиты на национальном и международном уровнях.</w:t>
      </w:r>
    </w:p>
    <w:p w14:paraId="541B8BF8"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Серьезной проблемой последнего времени стало так называемое «пиратство». В контексте интеллектуальной собственности пиратство - это неразрешенное правообладателем воспроизведение с целью извлечения прибыли.</w:t>
      </w:r>
    </w:p>
    <w:p w14:paraId="3FD58AF3"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 xml:space="preserve">Пиратство достигло сегодня в мире значительных масштабов. В исследовании, опубликованным в 1986 году, ущерб, нанесенный издательствам Великобритании в 1984-1985 годах в результате незаконного выпуска книг в восьми странах, оценивался в 70 млн. ф- </w:t>
      </w:r>
      <w:proofErr w:type="spellStart"/>
      <w:r w:rsidRPr="005471CA">
        <w:rPr>
          <w:rFonts w:ascii="Times New Roman" w:eastAsia="Times New Roman" w:hAnsi="Times New Roman" w:cs="Times New Roman"/>
          <w:color w:val="000000"/>
          <w:sz w:val="28"/>
          <w:szCs w:val="28"/>
          <w:lang w:val="ru-RU" w:eastAsia="ru-RU"/>
        </w:rPr>
        <w:t>ст</w:t>
      </w:r>
      <w:proofErr w:type="spellEnd"/>
      <w:r w:rsidRPr="005471CA">
        <w:rPr>
          <w:rFonts w:ascii="Times New Roman" w:eastAsia="Times New Roman" w:hAnsi="Times New Roman" w:cs="Times New Roman"/>
          <w:color w:val="000000"/>
          <w:sz w:val="28"/>
          <w:szCs w:val="28"/>
          <w:lang w:val="ru-RU" w:eastAsia="ru-RU"/>
        </w:rPr>
        <w:t xml:space="preserve"> - Аналогичное исследование, опубликованное в США, оценивало потери издательств в этой стране в результате пиратства в десяти странах в 222 млн. долл. Один из очевидных выводов этой статистики - весьма существенный ущерб, причиняемый как отдельным авторам, так и издателям.</w:t>
      </w:r>
    </w:p>
    <w:p w14:paraId="7E406EA8"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В области музыки данные, собранные Международной федерацией индустрии звукозаписи (ИФПИ), организацией, которая представляет звукозаписывающую индустрию всех стран мира, свидетельствуют о том, что в 1990 году в мире было продано 540 млн. единиц незаконно произведенной продукции на сумму 1,2 млрд. долл.</w:t>
      </w:r>
    </w:p>
    <w:p w14:paraId="08E20FD5"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Парижская конвенция определяет как недобросовестную конкуренцию следующие ее три вида:</w:t>
      </w:r>
    </w:p>
    <w:p w14:paraId="638607F6" w14:textId="77777777" w:rsidR="005471CA" w:rsidRPr="005471CA" w:rsidRDefault="005471CA" w:rsidP="005471CA">
      <w:pPr>
        <w:widowControl w:val="0"/>
        <w:numPr>
          <w:ilvl w:val="0"/>
          <w:numId w:val="1"/>
        </w:numPr>
        <w:shd w:val="clear" w:color="auto" w:fill="FFFFFF"/>
        <w:tabs>
          <w:tab w:val="left" w:pos="533"/>
        </w:tabs>
        <w:autoSpaceDE w:val="0"/>
        <w:autoSpaceDN w:val="0"/>
        <w:adjustRightInd w:val="0"/>
        <w:spacing w:after="0" w:line="240" w:lineRule="auto"/>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Все действия, ведущие к тому, что потребитель может принять предприятие, товары, промышленную или коммерческую деятельность данной фирмы за предприятие, товары, промышленную или коммерческую деятельность конкурента.</w:t>
      </w:r>
    </w:p>
    <w:p w14:paraId="27EC614E" w14:textId="77777777" w:rsidR="005471CA" w:rsidRPr="005471CA" w:rsidRDefault="005471CA" w:rsidP="005471CA">
      <w:pPr>
        <w:widowControl w:val="0"/>
        <w:numPr>
          <w:ilvl w:val="0"/>
          <w:numId w:val="1"/>
        </w:numPr>
        <w:shd w:val="clear" w:color="auto" w:fill="FFFFFF"/>
        <w:tabs>
          <w:tab w:val="left" w:pos="533"/>
        </w:tabs>
        <w:autoSpaceDE w:val="0"/>
        <w:autoSpaceDN w:val="0"/>
        <w:adjustRightInd w:val="0"/>
        <w:spacing w:after="0" w:line="240" w:lineRule="auto"/>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lastRenderedPageBreak/>
        <w:t>Ложные заявления в ходе коммерческой деятельности, дискредитирующие предприятие, товары, промышленную или коммерческую деятельность конкурента.</w:t>
      </w:r>
    </w:p>
    <w:p w14:paraId="325DA742" w14:textId="77777777" w:rsidR="005471CA" w:rsidRPr="005471CA" w:rsidRDefault="005471CA" w:rsidP="005471CA">
      <w:pPr>
        <w:widowControl w:val="0"/>
        <w:numPr>
          <w:ilvl w:val="0"/>
          <w:numId w:val="1"/>
        </w:numPr>
        <w:shd w:val="clear" w:color="auto" w:fill="FFFFFF"/>
        <w:tabs>
          <w:tab w:val="left" w:pos="533"/>
        </w:tabs>
        <w:autoSpaceDE w:val="0"/>
        <w:autoSpaceDN w:val="0"/>
        <w:adjustRightInd w:val="0"/>
        <w:spacing w:after="0" w:line="240" w:lineRule="auto"/>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Использование в ходе коммерческой деятельности указаний или обозначений, которые вводят потребителя в заблуждение относительно природы, способа изготовления, характеристик, пригодности для определенных целей или количества товаров.</w:t>
      </w:r>
    </w:p>
    <w:p w14:paraId="4DE6521D"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Еще 12 видов деятельности определяются как недобросовестная конкуренция в комментарии к Типовому закону по товарным знакам, фирменным наименованиям и актам недобросовестной конкуренции для развивающихся стран:</w:t>
      </w:r>
    </w:p>
    <w:p w14:paraId="17E8F2C9"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подкуп покупателей конкурентов, направленный на то, чтобы привлечь их в качестве клиентов и сохранить на будущее их признательность;</w:t>
      </w:r>
    </w:p>
    <w:p w14:paraId="5EB6D119"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выяснение производственных или коммерческих тайн конкурента путем шпионажа или подкупа его служащих;</w:t>
      </w:r>
    </w:p>
    <w:p w14:paraId="2680A23F"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неправомочное использование или раскрытие ноу-хау конкурента;</w:t>
      </w:r>
    </w:p>
    <w:p w14:paraId="2FDD0F86"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побуждение служащих конкурента к нарушению или разрыву их контрактов с нанимателем;</w:t>
      </w:r>
    </w:p>
    <w:p w14:paraId="4EA949D7"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угроза конкурентам исками о нарушении патентов и/или товарных знаков, если это делается недобросовестно и с целью противодействия конкуренции в сфере торговли;</w:t>
      </w:r>
    </w:p>
    <w:p w14:paraId="4F82A5DB"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бойкотирование торговли другой фирмы для противодействия или недопущения конкуренции;</w:t>
      </w:r>
    </w:p>
    <w:p w14:paraId="622199D9"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демпинг, то есть продажа своих товаров ниже стоимости с намерением противодействовать конкуренции или подавить ее;</w:t>
      </w:r>
    </w:p>
    <w:p w14:paraId="3E180B20"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создание впечатления, что потребителю предоставляется возможность покупки на необычайно выгодных условиях, когда на самом деле этого нет;</w:t>
      </w:r>
    </w:p>
    <w:p w14:paraId="3B6F96AE" w14:textId="77777777" w:rsidR="005471CA" w:rsidRPr="005471CA" w:rsidRDefault="005471CA" w:rsidP="005471CA">
      <w:pPr>
        <w:widowControl w:val="0"/>
        <w:numPr>
          <w:ilvl w:val="0"/>
          <w:numId w:val="3"/>
        </w:numPr>
        <w:shd w:val="clear" w:color="auto" w:fill="FFFFFF"/>
        <w:tabs>
          <w:tab w:val="left" w:pos="1134"/>
        </w:tabs>
        <w:autoSpaceDE w:val="0"/>
        <w:autoSpaceDN w:val="0"/>
        <w:adjustRightInd w:val="0"/>
        <w:spacing w:after="0" w:line="240" w:lineRule="auto"/>
        <w:ind w:firstLine="698"/>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намеренное копирование товаров, услуг, рекламы или других аспектов коммерческой деятельности конкурента;</w:t>
      </w:r>
    </w:p>
    <w:p w14:paraId="42F452B3" w14:textId="77777777" w:rsidR="005471CA" w:rsidRPr="005471CA" w:rsidRDefault="005471CA" w:rsidP="005471CA">
      <w:pPr>
        <w:numPr>
          <w:ilvl w:val="0"/>
          <w:numId w:val="3"/>
        </w:numPr>
        <w:shd w:val="clear" w:color="auto" w:fill="FFFFFF"/>
        <w:tabs>
          <w:tab w:val="left" w:pos="1134"/>
        </w:tabs>
        <w:spacing w:after="0" w:line="240" w:lineRule="auto"/>
        <w:ind w:firstLine="698"/>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поощрение нарушений контрактов, заключенных конкурентами;</w:t>
      </w:r>
    </w:p>
    <w:p w14:paraId="32156D6D" w14:textId="0B1CBB38" w:rsidR="005471CA" w:rsidRPr="005471CA" w:rsidRDefault="005471CA" w:rsidP="005471CA">
      <w:pPr>
        <w:numPr>
          <w:ilvl w:val="0"/>
          <w:numId w:val="3"/>
        </w:numPr>
        <w:shd w:val="clear" w:color="auto" w:fill="FFFFFF"/>
        <w:tabs>
          <w:tab w:val="left" w:pos="552"/>
          <w:tab w:val="left" w:pos="1134"/>
        </w:tabs>
        <w:spacing w:after="0" w:line="240" w:lineRule="auto"/>
        <w:ind w:firstLine="698"/>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59264" behindDoc="0" locked="0" layoutInCell="0" allowOverlap="1" wp14:anchorId="3B5FC4BE" wp14:editId="75CB1620">
                <wp:simplePos x="0" y="0"/>
                <wp:positionH relativeFrom="margin">
                  <wp:posOffset>8927465</wp:posOffset>
                </wp:positionH>
                <wp:positionV relativeFrom="paragraph">
                  <wp:posOffset>3691255</wp:posOffset>
                </wp:positionV>
                <wp:extent cx="0" cy="1670050"/>
                <wp:effectExtent l="8255" t="11430" r="10795" b="1397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700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0335ED"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02.95pt,290.65pt" to="702.95pt,4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" o:allowincell="f" strokeweight=".25pt">
                <w10:wrap anchorx="margin"/>
              </v:line>
            </w:pict>
          </mc:Fallback>
        </mc:AlternateContent>
      </w:r>
      <w:r w:rsidRPr="005471CA">
        <w:rPr>
          <w:rFonts w:ascii="Times New Roman" w:eastAsia="Times New Roman" w:hAnsi="Times New Roman" w:cs="Times New Roman"/>
          <w:color w:val="000000"/>
          <w:sz w:val="28"/>
          <w:szCs w:val="28"/>
          <w:lang w:val="ru-RU" w:eastAsia="ru-RU"/>
        </w:rPr>
        <w:t>выпуск рекламы, в которой проводится сравнение с товарами или услугами конкурентов;</w:t>
      </w:r>
    </w:p>
    <w:p w14:paraId="7B13C49D" w14:textId="77777777" w:rsidR="005471CA" w:rsidRPr="005471CA" w:rsidRDefault="005471CA" w:rsidP="005471CA">
      <w:pPr>
        <w:numPr>
          <w:ilvl w:val="0"/>
          <w:numId w:val="3"/>
        </w:numPr>
        <w:shd w:val="clear" w:color="auto" w:fill="FFFFFF"/>
        <w:tabs>
          <w:tab w:val="left" w:pos="552"/>
          <w:tab w:val="left" w:pos="1134"/>
        </w:tabs>
        <w:spacing w:after="0" w:line="240" w:lineRule="auto"/>
        <w:ind w:firstLine="698"/>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нарушение правовых положений, не имеющих прямого отношения к конкуренции, когда такое нарушение позволяет добиться не оправданного преимущества перед конкурентами.</w:t>
      </w:r>
    </w:p>
    <w:p w14:paraId="406AA8F5"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 xml:space="preserve">В разных странах экономическое развитие имеет свою специфику поэтому принимаемые в них законы о недобросовестной конкуренции </w:t>
      </w:r>
      <w:r w:rsidRPr="005471CA">
        <w:rPr>
          <w:rFonts w:ascii="Times New Roman" w:eastAsia="Times New Roman" w:hAnsi="Times New Roman" w:cs="Times New Roman"/>
          <w:color w:val="000000"/>
          <w:sz w:val="28"/>
          <w:szCs w:val="28"/>
          <w:lang w:val="ru-RU" w:eastAsia="ru-RU"/>
        </w:rPr>
        <w:lastRenderedPageBreak/>
        <w:t xml:space="preserve">базируются на </w:t>
      </w:r>
      <w:proofErr w:type="spellStart"/>
      <w:r w:rsidRPr="005471CA">
        <w:rPr>
          <w:rFonts w:ascii="Times New Roman" w:eastAsia="Times New Roman" w:hAnsi="Times New Roman" w:cs="Times New Roman"/>
          <w:color w:val="000000"/>
          <w:sz w:val="28"/>
          <w:szCs w:val="28"/>
          <w:lang w:val="ru-RU" w:eastAsia="ru-RU"/>
        </w:rPr>
        <w:t>общеконституционных</w:t>
      </w:r>
      <w:proofErr w:type="spellEnd"/>
      <w:r w:rsidRPr="005471CA">
        <w:rPr>
          <w:rFonts w:ascii="Times New Roman" w:eastAsia="Times New Roman" w:hAnsi="Times New Roman" w:cs="Times New Roman"/>
          <w:color w:val="000000"/>
          <w:sz w:val="28"/>
          <w:szCs w:val="28"/>
          <w:lang w:val="ru-RU" w:eastAsia="ru-RU"/>
        </w:rPr>
        <w:t xml:space="preserve"> принципах и принципах гражданского кодекса, прецедентного права и специальных законах.</w:t>
      </w:r>
    </w:p>
    <w:p w14:paraId="56E08476"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p>
    <w:p w14:paraId="7E468B50" w14:textId="001F8811" w:rsidR="005471CA" w:rsidRPr="005471CA" w:rsidRDefault="00C15AA8" w:rsidP="005471CA">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2" w:name="_Toc276932475"/>
      <w:r>
        <w:rPr>
          <w:rFonts w:ascii="Times New Roman" w:eastAsia="Times New Roman" w:hAnsi="Times New Roman" w:cs="Times New Roman"/>
          <w:b/>
          <w:sz w:val="28"/>
          <w:szCs w:val="28"/>
          <w:lang w:val="ru-RU" w:eastAsia="ru-RU"/>
        </w:rPr>
        <w:t>13</w:t>
      </w:r>
      <w:r w:rsidR="005471CA" w:rsidRPr="005471CA">
        <w:rPr>
          <w:rFonts w:ascii="Times New Roman" w:eastAsia="Times New Roman" w:hAnsi="Times New Roman" w:cs="Times New Roman"/>
          <w:b/>
          <w:sz w:val="28"/>
          <w:szCs w:val="28"/>
          <w:lang w:val="ru-RU" w:eastAsia="ru-RU"/>
        </w:rPr>
        <w:t>.1 Недобросовестная конкуренция и соглашения о ноу-хау</w:t>
      </w:r>
      <w:bookmarkEnd w:id="2"/>
    </w:p>
    <w:p w14:paraId="735B8434" w14:textId="77777777" w:rsidR="005471CA" w:rsidRPr="005471CA" w:rsidRDefault="005471CA" w:rsidP="005471CA">
      <w:pPr>
        <w:shd w:val="clear" w:color="auto" w:fill="FFFFFF"/>
        <w:tabs>
          <w:tab w:val="left" w:pos="504"/>
        </w:tabs>
        <w:spacing w:after="0" w:line="240" w:lineRule="auto"/>
        <w:ind w:firstLine="709"/>
        <w:jc w:val="both"/>
        <w:rPr>
          <w:rFonts w:ascii="Times New Roman" w:eastAsia="Times New Roman" w:hAnsi="Times New Roman" w:cs="Times New Roman"/>
          <w:sz w:val="28"/>
          <w:szCs w:val="28"/>
          <w:lang w:val="ru-RU" w:eastAsia="ru-RU"/>
        </w:rPr>
      </w:pPr>
    </w:p>
    <w:p w14:paraId="18EBC0BE"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Как же ознакомить потенциального покупателя с ноу-хау? Ведь никто не станет покупать кота в мешке. Каждому необходимо ознакомиться с ноу-хау и оценить его. Потенциальные партнеры заключают опционное соглашение с оплатой продавцу аванса за ознакомление с ноу-хау. В соглашении оговаривается, что если в результате знакомства с ноу-хау стороны не заключат договора, потенциальный покупатель не имеет права разглашать, передавать третьим лицам полученные от продавца сведения и промышленно использовать их. Кроме того, он теряет аванс. Если же сделка состоится, внесенная сумма пойдет в счет будущих платежей. В условиях рыночной экономики сохранение в секрете ноу-хау — один из основных факторов коммерческой реа</w:t>
      </w:r>
      <w:r w:rsidRPr="005471CA">
        <w:rPr>
          <w:rFonts w:ascii="Times New Roman" w:eastAsia="Times New Roman" w:hAnsi="Times New Roman" w:cs="Times New Roman"/>
          <w:color w:val="000000"/>
          <w:sz w:val="28"/>
          <w:szCs w:val="28"/>
          <w:lang w:val="ru-RU" w:eastAsia="ru-RU"/>
        </w:rPr>
        <w:softHyphen/>
        <w:t>лизации научно-технического достижения.</w:t>
      </w:r>
    </w:p>
    <w:p w14:paraId="274E0A9F"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p>
    <w:p w14:paraId="77FA482E" w14:textId="015D4733" w:rsidR="005471CA" w:rsidRPr="005471CA" w:rsidRDefault="00C15AA8" w:rsidP="005471CA">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3" w:name="_Toc276932476"/>
      <w:r>
        <w:rPr>
          <w:rFonts w:ascii="Times New Roman" w:eastAsia="Times New Roman" w:hAnsi="Times New Roman" w:cs="Times New Roman"/>
          <w:b/>
          <w:sz w:val="28"/>
          <w:szCs w:val="28"/>
          <w:lang w:val="ru-RU" w:eastAsia="ru-RU"/>
        </w:rPr>
        <w:t>13</w:t>
      </w:r>
      <w:r w:rsidR="005471CA" w:rsidRPr="005471CA">
        <w:rPr>
          <w:rFonts w:ascii="Times New Roman" w:eastAsia="Times New Roman" w:hAnsi="Times New Roman" w:cs="Times New Roman"/>
          <w:b/>
          <w:sz w:val="28"/>
          <w:szCs w:val="28"/>
          <w:lang w:val="ru-RU" w:eastAsia="ru-RU"/>
        </w:rPr>
        <w:t>.2 Выявление ноу-хау</w:t>
      </w:r>
      <w:bookmarkEnd w:id="3"/>
    </w:p>
    <w:p w14:paraId="57B0056B" w14:textId="77777777" w:rsidR="005471CA" w:rsidRPr="005471CA" w:rsidRDefault="005471CA" w:rsidP="005471CA">
      <w:pPr>
        <w:shd w:val="clear" w:color="auto" w:fill="FFFFFF"/>
        <w:tabs>
          <w:tab w:val="left" w:pos="504"/>
        </w:tabs>
        <w:spacing w:after="0" w:line="240" w:lineRule="auto"/>
        <w:ind w:firstLine="709"/>
        <w:jc w:val="both"/>
        <w:rPr>
          <w:rFonts w:ascii="Times New Roman" w:eastAsia="Times New Roman" w:hAnsi="Times New Roman" w:cs="Times New Roman"/>
          <w:sz w:val="28"/>
          <w:szCs w:val="28"/>
          <w:lang w:val="ru-RU" w:eastAsia="ru-RU"/>
        </w:rPr>
      </w:pPr>
    </w:p>
    <w:p w14:paraId="16CCCBB1"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Существуют общие рекомендации по выявлению некоторых видов ноу-хау специалистами-разработчиками. Например, для ноу-хау в устройствах: оптимальный вариант изготовления, особенности технологии изготовления, особенности используемых в конструкции материалов, сведения о продукции, для получения которой предназначено устройство, условия эксплуатации устройства (окружающая среда, воздействие вибраций, шума, режимов и т.п.), взаимозависимость размеров.</w:t>
      </w:r>
    </w:p>
    <w:p w14:paraId="49AEF568"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Формы, квалификация обслуживающего персонала, один из несущественных признаков.</w:t>
      </w:r>
    </w:p>
    <w:p w14:paraId="580961C9"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Ноу-хау в способе: условия воспроизводства способа - параметры и качество исходных продуктов (влажность, особенность химического состава), физическое состояние - гранулы, мелкий помол, песок, порошок, вязкость и т.п.), взаимозависимость технологических пара</w:t>
      </w:r>
      <w:r w:rsidRPr="005471CA">
        <w:rPr>
          <w:rFonts w:ascii="Times New Roman" w:eastAsia="Times New Roman" w:hAnsi="Times New Roman" w:cs="Times New Roman"/>
          <w:color w:val="000000"/>
          <w:sz w:val="28"/>
          <w:szCs w:val="28"/>
          <w:lang w:val="ru-RU" w:eastAsia="ru-RU"/>
        </w:rPr>
        <w:softHyphen/>
        <w:t>метров (температуры от влажности, температуры от скорости процессов и т.п.), один или несколько несущественных признаков.</w:t>
      </w:r>
    </w:p>
    <w:p w14:paraId="7AF92F09"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С понятием ноу-хау возникают некоторые трудности и при патентовании новых разработок, в которых выявлены ноу-хау. Законодательства всех стран требуют полного раскрытия всей совокупности существенных признаков. Но заявители во всех странах стремятся так изложить эту совокупность, чтобы, с одной стороны, удовлетворить всем требованиям экспертизы, а с другой — как можно больше скрыть.</w:t>
      </w:r>
    </w:p>
    <w:p w14:paraId="448E765D"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 xml:space="preserve">Ошибки при оформлении таких заявок могут привести либо к переписке с федеральным органом власти по интеллектуальной собственности, либо к выдаче так называемого «инвалидного патента», то есть такой охранной грамоты, правомочность выдачи которой может быть опротестована на том основании, что заявлены не все существенные признаки и техническое </w:t>
      </w:r>
      <w:r w:rsidRPr="005471CA">
        <w:rPr>
          <w:rFonts w:ascii="Times New Roman" w:eastAsia="Times New Roman" w:hAnsi="Times New Roman" w:cs="Times New Roman"/>
          <w:color w:val="000000"/>
          <w:sz w:val="28"/>
          <w:szCs w:val="28"/>
          <w:lang w:val="ru-RU" w:eastAsia="ru-RU"/>
        </w:rPr>
        <w:lastRenderedPageBreak/>
        <w:t>решение из-за этого неработоспособно, не приводит к заявленному техническому результату. Поэтому грамотное выявление ноу-хау считается искусством.</w:t>
      </w:r>
    </w:p>
    <w:p w14:paraId="285F9EA2"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Продажа любых научно-технических достижений обычно связана с передачей ноу-хау. Это можно объяснить, с одной стороны, усложнением разработок, расширением масштабов исследований, а с другой — естественным желанием разработчиков сохранить секреты для коммерческой реализации. Не удивительно, что промышленная разведка расходует значительные средства на добывание ноу-хау.</w:t>
      </w:r>
    </w:p>
    <w:p w14:paraId="77558650" w14:textId="77777777" w:rsidR="005471CA" w:rsidRPr="005471CA" w:rsidRDefault="005471CA" w:rsidP="005471C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5471CA">
        <w:rPr>
          <w:rFonts w:ascii="Times New Roman" w:eastAsia="Times New Roman" w:hAnsi="Times New Roman" w:cs="Times New Roman"/>
          <w:color w:val="000000"/>
          <w:sz w:val="28"/>
          <w:szCs w:val="28"/>
          <w:lang w:val="ru-RU" w:eastAsia="ru-RU"/>
        </w:rPr>
        <w:t>Как показывает практика, ноу-хау раскрывается в публикациях, помещаемых в ведомственных журналах, диссертациях, докладах на конференциях, семинарах, выступлениях в средствах массовой информации. Каналом для утечки ноу-хау могут стать рекламные материалы, Демонстрация научно-технических достижений на выставках и ярмар</w:t>
      </w:r>
      <w:r w:rsidRPr="005471CA">
        <w:rPr>
          <w:rFonts w:ascii="Times New Roman" w:eastAsia="Times New Roman" w:hAnsi="Times New Roman" w:cs="Times New Roman"/>
          <w:color w:val="000000"/>
          <w:sz w:val="28"/>
          <w:szCs w:val="28"/>
          <w:lang w:val="ru-RU" w:eastAsia="ru-RU"/>
        </w:rPr>
        <w:softHyphen/>
        <w:t>ках. В ходе переговоров технических специалистов с представителями иностранных фирм тоже нередко просачивается ценная информация, которая может быть отнесена к ноу-хау.</w:t>
      </w:r>
    </w:p>
    <w:p w14:paraId="270EA69F" w14:textId="0FE7F1DC" w:rsidR="005471CA" w:rsidRDefault="005471CA" w:rsidP="005471CA">
      <w:pPr>
        <w:shd w:val="clear" w:color="auto" w:fill="FFFFFF"/>
        <w:spacing w:after="0" w:line="240" w:lineRule="auto"/>
        <w:ind w:firstLine="709"/>
        <w:jc w:val="both"/>
        <w:rPr>
          <w:rFonts w:ascii="Times New Roman" w:eastAsia="Times New Roman" w:hAnsi="Times New Roman" w:cs="Times New Roman"/>
          <w:color w:val="000000"/>
          <w:sz w:val="28"/>
          <w:szCs w:val="28"/>
          <w:lang w:val="ru-RU" w:eastAsia="ru-RU"/>
        </w:rPr>
      </w:pPr>
      <w:r w:rsidRPr="005471CA">
        <w:rPr>
          <w:rFonts w:ascii="Times New Roman" w:eastAsia="Times New Roman" w:hAnsi="Times New Roman" w:cs="Times New Roman"/>
          <w:color w:val="000000"/>
          <w:sz w:val="28"/>
          <w:szCs w:val="28"/>
          <w:lang w:val="ru-RU" w:eastAsia="ru-RU"/>
        </w:rPr>
        <w:t>Большой осторожности во избежание разглашения сведений типа Ноу-хау требует ведение работ по договорам со сторонними организациями, выполнение соглашений о сотрудничестве и кооперации с зарубежными фирмами. Защитить ноу-хау можно только грамотной публикацией сведений без раскрытия их существа, а также внесением в договоры условий о правах на ноу-хау, их конфиденциальности и соответствующих санкциях.</w:t>
      </w:r>
    </w:p>
    <w:p w14:paraId="5036486E" w14:textId="4D85970D" w:rsidR="00C15AA8" w:rsidRDefault="00C15AA8" w:rsidP="005471CA">
      <w:pPr>
        <w:shd w:val="clear" w:color="auto" w:fill="FFFFFF"/>
        <w:spacing w:after="0" w:line="240" w:lineRule="auto"/>
        <w:ind w:firstLine="709"/>
        <w:jc w:val="both"/>
        <w:rPr>
          <w:rFonts w:ascii="Times New Roman" w:eastAsia="Times New Roman" w:hAnsi="Times New Roman" w:cs="Times New Roman"/>
          <w:color w:val="000000"/>
          <w:sz w:val="28"/>
          <w:szCs w:val="28"/>
          <w:lang w:val="ru-RU" w:eastAsia="ru-RU"/>
        </w:rPr>
      </w:pPr>
    </w:p>
    <w:p w14:paraId="1900A790" w14:textId="74E3DAB6" w:rsidR="00C15AA8" w:rsidRPr="00C15AA8" w:rsidRDefault="00C15AA8" w:rsidP="005471CA">
      <w:pPr>
        <w:shd w:val="clear" w:color="auto" w:fill="FFFFFF"/>
        <w:spacing w:after="0" w:line="240" w:lineRule="auto"/>
        <w:ind w:firstLine="709"/>
        <w:jc w:val="both"/>
        <w:rPr>
          <w:rFonts w:ascii="Times New Roman" w:eastAsia="Times New Roman" w:hAnsi="Times New Roman" w:cs="Times New Roman"/>
          <w:b/>
          <w:bCs/>
          <w:sz w:val="28"/>
          <w:szCs w:val="28"/>
          <w:lang w:val="ru-RU" w:eastAsia="ru-RU"/>
        </w:rPr>
      </w:pPr>
      <w:r w:rsidRPr="00C15AA8">
        <w:rPr>
          <w:rFonts w:ascii="Times New Roman" w:eastAsia="Times New Roman" w:hAnsi="Times New Roman" w:cs="Times New Roman"/>
          <w:b/>
          <w:bCs/>
          <w:color w:val="000000"/>
          <w:sz w:val="28"/>
          <w:szCs w:val="28"/>
          <w:lang w:val="ru-RU" w:eastAsia="ru-RU"/>
        </w:rPr>
        <w:t>Контрольные вопросы:</w:t>
      </w:r>
    </w:p>
    <w:p w14:paraId="781AE977" w14:textId="77777777" w:rsidR="005471CA" w:rsidRPr="00C15AA8" w:rsidRDefault="005471CA" w:rsidP="005471CA">
      <w:pPr>
        <w:spacing w:after="0" w:line="240" w:lineRule="auto"/>
        <w:ind w:firstLine="709"/>
        <w:jc w:val="both"/>
        <w:rPr>
          <w:rFonts w:ascii="Times New Roman" w:eastAsia="Times New Roman" w:hAnsi="Times New Roman" w:cs="Times New Roman"/>
          <w:b/>
          <w:bCs/>
          <w:sz w:val="28"/>
          <w:szCs w:val="28"/>
          <w:lang w:val="ru-RU" w:eastAsia="ru-RU"/>
        </w:rPr>
      </w:pPr>
    </w:p>
    <w:p w14:paraId="5441BFBB" w14:textId="0763050D" w:rsidR="005471CA" w:rsidRPr="00C15AA8" w:rsidRDefault="00C15AA8" w:rsidP="00C15AA8">
      <w:pPr>
        <w:pStyle w:val="a3"/>
        <w:numPr>
          <w:ilvl w:val="0"/>
          <w:numId w:val="4"/>
        </w:numPr>
        <w:rPr>
          <w:rFonts w:ascii="Times New Roman" w:hAnsi="Times New Roman" w:cs="Times New Roman"/>
          <w:b/>
          <w:bCs/>
          <w:sz w:val="28"/>
          <w:szCs w:val="28"/>
          <w:lang w:val="ru-RU"/>
        </w:rPr>
      </w:pPr>
      <w:r w:rsidRPr="00C15AA8">
        <w:rPr>
          <w:rFonts w:ascii="Times New Roman" w:hAnsi="Times New Roman" w:cs="Times New Roman"/>
          <w:b/>
          <w:bCs/>
          <w:sz w:val="28"/>
          <w:szCs w:val="28"/>
          <w:lang w:val="ru-RU"/>
        </w:rPr>
        <w:t>О</w:t>
      </w:r>
      <w:r w:rsidRPr="00C15AA8">
        <w:rPr>
          <w:rFonts w:ascii="Times New Roman" w:hAnsi="Times New Roman" w:cs="Times New Roman"/>
          <w:b/>
          <w:bCs/>
          <w:sz w:val="28"/>
          <w:szCs w:val="28"/>
          <w:lang w:val="ru-RU"/>
        </w:rPr>
        <w:t>сновные понятия о</w:t>
      </w:r>
      <w:r w:rsidRPr="00C15AA8">
        <w:rPr>
          <w:rFonts w:ascii="Times New Roman" w:hAnsi="Times New Roman" w:cs="Times New Roman"/>
          <w:b/>
          <w:bCs/>
          <w:sz w:val="28"/>
          <w:szCs w:val="28"/>
          <w:lang w:val="ru-RU"/>
        </w:rPr>
        <w:t xml:space="preserve"> «KNOW HOW» (НОУ-ХАУ)</w:t>
      </w:r>
      <w:r>
        <w:rPr>
          <w:rFonts w:ascii="Times New Roman" w:hAnsi="Times New Roman" w:cs="Times New Roman"/>
          <w:b/>
          <w:bCs/>
          <w:sz w:val="28"/>
          <w:szCs w:val="28"/>
          <w:lang w:val="ru-RU"/>
        </w:rPr>
        <w:t>;</w:t>
      </w:r>
    </w:p>
    <w:sectPr w:rsidR="005471CA" w:rsidRPr="00C15A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23A9D"/>
    <w:multiLevelType w:val="hybridMultilevel"/>
    <w:tmpl w:val="90C8D068"/>
    <w:lvl w:ilvl="0" w:tplc="30A6B318">
      <w:start w:val="65535"/>
      <w:numFmt w:val="bullet"/>
      <w:lvlText w:val=""/>
      <w:lvlJc w:val="left"/>
      <w:pPr>
        <w:ind w:left="1429" w:hanging="360"/>
      </w:pPr>
      <w:rPr>
        <w:rFonts w:ascii="Symbol"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26217CB"/>
    <w:multiLevelType w:val="hybridMultilevel"/>
    <w:tmpl w:val="BCC43BC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1C144C8"/>
    <w:multiLevelType w:val="singleLevel"/>
    <w:tmpl w:val="F878D268"/>
    <w:lvl w:ilvl="0">
      <w:start w:val="1"/>
      <w:numFmt w:val="decimal"/>
      <w:lvlText w:val="%1"/>
      <w:legacy w:legacy="1" w:legacySpace="0" w:legacyIndent="206"/>
      <w:lvlJc w:val="left"/>
      <w:rPr>
        <w:rFonts w:ascii="Times New Roman" w:eastAsia="Times New Roman" w:hAnsi="Times New Roman" w:cs="Times New Roman"/>
      </w:rPr>
    </w:lvl>
  </w:abstractNum>
  <w:abstractNum w:abstractNumId="3" w15:restartNumberingAfterBreak="0">
    <w:nsid w:val="37EF7C8C"/>
    <w:multiLevelType w:val="hybridMultilevel"/>
    <w:tmpl w:val="998E41A6"/>
    <w:lvl w:ilvl="0" w:tplc="30A6B318">
      <w:start w:val="65535"/>
      <w:numFmt w:val="bullet"/>
      <w:lvlText w:val=""/>
      <w:lvlJc w:val="left"/>
      <w:pPr>
        <w:ind w:left="360" w:hanging="360"/>
      </w:pPr>
      <w:rPr>
        <w:rFonts w:ascii="Symbol" w:hAnsi="Symbol"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49E"/>
    <w:rsid w:val="005471CA"/>
    <w:rsid w:val="0081149E"/>
    <w:rsid w:val="00B23B03"/>
    <w:rsid w:val="00C15AA8"/>
    <w:rsid w:val="00F0037C"/>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58C7509"/>
  <w15:chartTrackingRefBased/>
  <w15:docId w15:val="{0653F82A-9967-4629-96FA-98D7E2470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5A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1679</Words>
  <Characters>9572</Characters>
  <Application>Microsoft Office Word</Application>
  <DocSecurity>0</DocSecurity>
  <Lines>79</Lines>
  <Paragraphs>22</Paragraphs>
  <ScaleCrop>false</ScaleCrop>
  <Company/>
  <LinksUpToDate>false</LinksUpToDate>
  <CharactersWithSpaces>11229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2021-01-25T13:35:00Z</dcterms:created>
  <dcterms:modified xsi:type="dcterms:W3CDTF">2021-01-25T14:50:00Z</dcterms:modified>
</cp:coreProperties>
</file>